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530-8_4seq1.xml.htm"/>
      <w:bookmarkStart w:id="1" w:name="kstm26275308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Saggar Rajeev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86"/>
        <w:gridCol w:w="901"/>
        <w:gridCol w:w="771"/>
        <w:gridCol w:w="598"/>
        <w:gridCol w:w="345"/>
        <w:gridCol w:w="877"/>
        <w:gridCol w:w="445"/>
        <w:gridCol w:w="792"/>
        <w:gridCol w:w="1179"/>
        <w:gridCol w:w="985"/>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3,530</w:t>
            </w:r>
            <w:r>
              <w:rPr>
                <w:rFonts w:ascii="Times;serif" w:hAnsi="Times;serif"/>
                <w:color w:val="008000"/>
                <w:position w:val="7"/>
                <w:sz w:val="16"/>
                <w:sz w:val="20"/>
                <w:shd w:fill="FFFFFF" w:val="clear"/>
              </w:rPr>
              <w:t>(2)</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131,100</w:t>
            </w:r>
            <w:r>
              <w:rPr>
                <w:rFonts w:ascii="Times;serif" w:hAnsi="Times;serif"/>
                <w:color w:val="008000"/>
                <w:position w:val="7"/>
                <w:sz w:val="16"/>
                <w:sz w:val="20"/>
                <w:shd w:fill="FFFFFF" w:val="clear"/>
              </w:rPr>
              <w:t>(3)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4,486</w:t>
            </w:r>
            <w:r>
              <w:rPr>
                <w:rFonts w:ascii="Times;serif" w:hAnsi="Times;serif"/>
                <w:color w:val="008000"/>
                <w:position w:val="7"/>
                <w:sz w:val="16"/>
                <w:sz w:val="20"/>
                <w:shd w:fill="FFFFFF" w:val="clear"/>
              </w:rPr>
              <w:t>(4)</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135,586</w:t>
            </w:r>
            <w:r>
              <w:rPr>
                <w:rFonts w:ascii="Times;serif" w:hAnsi="Times;serif"/>
                <w:color w:val="008000"/>
                <w:position w:val="7"/>
                <w:sz w:val="16"/>
                <w:sz w:val="20"/>
                <w:shd w:fill="FFFFFF" w:val="clear"/>
              </w:rPr>
              <w:t>(3)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9,218</w:t>
            </w:r>
            <w:r>
              <w:rPr>
                <w:rFonts w:ascii="Times;serif" w:hAnsi="Times;serif"/>
                <w:color w:val="008000"/>
                <w:position w:val="7"/>
                <w:sz w:val="16"/>
                <w:sz w:val="20"/>
                <w:shd w:fill="FFFFFF" w:val="clear"/>
              </w:rPr>
              <w:t>(6)</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28.48</w:t>
            </w:r>
            <w:r>
              <w:rPr>
                <w:rFonts w:ascii="Times;serif" w:hAnsi="Times;serif"/>
                <w:color w:val="008000"/>
                <w:position w:val="7"/>
                <w:sz w:val="16"/>
                <w:sz w:val="20"/>
                <w:shd w:fill="FFFFFF" w:val="clear"/>
              </w:rPr>
              <w:t>(1)</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126,368</w:t>
            </w:r>
            <w:r>
              <w:rPr>
                <w:rFonts w:ascii="Times;serif" w:hAnsi="Times;serif"/>
                <w:color w:val="008000"/>
                <w:position w:val="7"/>
                <w:sz w:val="16"/>
                <w:sz w:val="20"/>
                <w:shd w:fill="FFFFFF" w:val="clear"/>
              </w:rPr>
              <w:t>(3)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15,099</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3,530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17,654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4,486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40,376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Performance stock units ("PSUs")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11, 2024, the Reporting Person was granted 56,492 PSUs which vest upon the following time-based vesting schedule: 25% of the PSUs shall vest on January 11, 2025 and the remaining PSUs shall vest ratably on a quarterly basis over three years thereafter. Of those PSUs, a total of 38,838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5,208 unvested restricted stock units ("RSUs") of the 83,333 RSUs granted to the Reporting Person on January 11, 2023, (ii) 17,654 unvested RSUs of the 56,492 RSUs granted to the Reporting Person on January 11, 2024, (iii) 40,376 unvested RSUs of the 71,780 RSUs granted to the Reporting Person on January 11, 2025, (iv) 32,955 RSUs granted to the Reporting Person on January 16, 2026, none of which have vested as of the date of this Form 4 and (v) 3,054 shares acquired under the Liquidia Corporation 2020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January 11, 2025, the Reporting Person was granted 71,780 PSUs which vest upon the following time-based vesting schedule: 25% of the PSUs shall vest on January 11, 2026 and the remaining PSUs shall vest ratably on a quarterly basis over three years thereafter. Of those PSUs, a total of 31,404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Transaction effected pursuant to a Rule 10b5-1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of common stock were sold to cover taxes associated with the settlement of RSUs and PSUs that were initially granted to the Reporting Person on January 11, 2023, January 11, 2024 and January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securities are held by Saggar Legacy Trust ("Trust"). The Reporting Person is the trustee of the Trust.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 Rajeev Saggar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35638"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923</Words>
  <Characters>4785</Characters>
  <CharactersWithSpaces>5590</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