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2499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249920"/>
                    </a:xfrm>
                    <a:prstGeom prst="rect">
                      <a:avLst/>
                    </a:prstGeom>
                    <a:noFill/>
                  </pic:spPr>
                </pic:pic>
              </a:graphicData>
            </a:graphic>
          </wp:anchor>
        </w:drawing>
      </w:r>
    </w:p>
    <w:p>
      <w:pPr>
        <w:spacing w:after="0" w:line="1285" w:lineRule="exact"/>
        <w:rPr>
          <w:sz w:val="24"/>
          <w:szCs w:val="24"/>
          <w:color w:val="auto"/>
        </w:rPr>
      </w:pPr>
    </w:p>
    <w:p>
      <w:pPr>
        <w:sectPr>
          <w:pgSz w:w="11900" w:h="16883"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Bloch Stephen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419 DAVIS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Liquidia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LQDA</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83" w:orient="portrait"/>
          <w:cols w:equalWidth="0" w:num="3">
            <w:col w:w="3200" w:space="720"/>
            <w:col w:w="3095" w:space="720"/>
            <w:col w:w="3345"/>
          </w:cols>
          <w:pgMar w:left="460" w:top="219" w:right="35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MORRISVILLE NC</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27560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83"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180"/>
              <w:spacing w:after="0"/>
              <w:rPr>
                <w:sz w:val="20"/>
                <w:szCs w:val="20"/>
                <w:color w:val="auto"/>
              </w:rPr>
            </w:pPr>
            <w:r>
              <w:rPr>
                <w:rFonts w:ascii="Arial" w:cs="Arial" w:eastAsia="Arial" w:hAnsi="Arial"/>
                <w:sz w:val="12"/>
                <w:szCs w:val="12"/>
                <w:b w:val="1"/>
                <w:bCs w:val="1"/>
                <w:color w:val="auto"/>
              </w:rPr>
              <w:t>2. Transaction</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w w:val="98"/>
              </w:rPr>
              <w:t>2A. Deemed</w:t>
            </w: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3"/>
                <w:szCs w:val="13"/>
                <w:color w:val="auto"/>
              </w:rPr>
            </w:pPr>
          </w:p>
        </w:tc>
        <w:tc>
          <w:tcPr>
            <w:tcW w:w="21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jc w:val="center"/>
              <w:ind w:left="84"/>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420" w:type="dxa"/>
            <w:vAlign w:val="bottom"/>
            <w:tcBorders>
              <w:bottom w:val="single" w:sz="8" w:color="808080"/>
            </w:tcBorders>
          </w:tcPr>
          <w:p>
            <w:pPr>
              <w:spacing w:after="0"/>
              <w:rPr>
                <w:sz w:val="13"/>
                <w:szCs w:val="13"/>
                <w:color w:val="auto"/>
              </w:rPr>
            </w:pPr>
          </w:p>
        </w:tc>
        <w:tc>
          <w:tcPr>
            <w:tcW w:w="780" w:type="dxa"/>
            <w:vAlign w:val="bottom"/>
            <w:tcBorders>
              <w:bottom w:val="single" w:sz="8" w:color="808080"/>
            </w:tcBorders>
          </w:tcPr>
          <w:p>
            <w:pPr>
              <w:spacing w:after="0"/>
              <w:rPr>
                <w:sz w:val="13"/>
                <w:szCs w:val="13"/>
                <w:color w:val="auto"/>
              </w:rPr>
            </w:pPr>
          </w:p>
        </w:tc>
        <w:tc>
          <w:tcPr>
            <w:tcW w:w="3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420" w:type="dxa"/>
            <w:vAlign w:val="bottom"/>
            <w:tcBorders>
              <w:top w:val="single" w:sz="8" w:color="2C2C2C"/>
            </w:tcBorders>
          </w:tcPr>
          <w:p>
            <w:pPr>
              <w:spacing w:after="0"/>
              <w:rPr>
                <w:sz w:val="7"/>
                <w:szCs w:val="7"/>
                <w:color w:val="auto"/>
              </w:rPr>
            </w:pPr>
          </w:p>
        </w:tc>
        <w:tc>
          <w:tcPr>
            <w:tcW w:w="780" w:type="dxa"/>
            <w:vAlign w:val="bottom"/>
            <w:tcBorders>
              <w:top w:val="single" w:sz="8" w:color="2C2C2C"/>
            </w:tcBorders>
          </w:tcPr>
          <w:p>
            <w:pPr>
              <w:spacing w:after="0"/>
              <w:rPr>
                <w:sz w:val="7"/>
                <w:szCs w:val="7"/>
                <w:color w:val="auto"/>
              </w:rPr>
            </w:pPr>
          </w:p>
        </w:tc>
        <w:tc>
          <w:tcPr>
            <w:tcW w:w="1340" w:type="dxa"/>
            <w:vAlign w:val="bottom"/>
            <w:tcBorders>
              <w:top w:val="single" w:sz="8" w:color="2C2C2C"/>
            </w:tcBorders>
            <w:gridSpan w:val="3"/>
            <w:vMerge w:val="restart"/>
          </w:tcPr>
          <w:p>
            <w:pPr>
              <w:ind w:left="100"/>
              <w:spacing w:after="0" w:line="246" w:lineRule="exact"/>
              <w:rPr>
                <w:sz w:val="20"/>
                <w:szCs w:val="20"/>
                <w:color w:val="auto"/>
              </w:rPr>
            </w:pPr>
            <w:r>
              <w:rPr>
                <w:rFonts w:ascii="Arial" w:cs="Arial" w:eastAsia="Arial" w:hAnsi="Arial"/>
                <w:sz w:val="12"/>
                <w:szCs w:val="12"/>
                <w:b w:val="1"/>
                <w:bCs w:val="1"/>
                <w:color w:val="auto"/>
              </w:rPr>
              <w:t xml:space="preserve">(A) or  </w:t>
            </w:r>
            <w:r>
              <w:rPr>
                <w:rFonts w:ascii="Arial" w:cs="Arial" w:eastAsia="Arial" w:hAnsi="Arial"/>
                <w:sz w:val="23"/>
                <w:szCs w:val="23"/>
                <w:b w:val="1"/>
                <w:bCs w:val="1"/>
                <w:color w:val="auto"/>
                <w:vertAlign w:val="subscript"/>
              </w:rPr>
              <w:t>Price</w:t>
            </w: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ind w:left="40"/>
              <w:spacing w:after="0"/>
              <w:rPr>
                <w:sz w:val="20"/>
                <w:szCs w:val="20"/>
                <w:color w:val="auto"/>
              </w:rPr>
            </w:pPr>
            <w:r>
              <w:rPr>
                <w:rFonts w:ascii="Arial" w:cs="Arial" w:eastAsia="Arial" w:hAnsi="Arial"/>
                <w:sz w:val="12"/>
                <w:szCs w:val="12"/>
                <w:b w:val="1"/>
                <w:bCs w:val="1"/>
                <w:color w:val="auto"/>
                <w:w w:val="99"/>
              </w:rPr>
              <w:t>Code</w:t>
            </w:r>
          </w:p>
        </w:tc>
        <w:tc>
          <w:tcPr>
            <w:tcW w:w="42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13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42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ind w:left="10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64"/>
              <w:spacing w:after="0"/>
              <w:rPr>
                <w:sz w:val="20"/>
                <w:szCs w:val="20"/>
                <w:color w:val="auto"/>
              </w:rPr>
            </w:pPr>
            <w:r>
              <w:rPr>
                <w:rFonts w:ascii="Times New Roman" w:cs="Times New Roman" w:eastAsia="Times New Roman" w:hAnsi="Times New Roman"/>
                <w:sz w:val="17"/>
                <w:szCs w:val="17"/>
                <w:color w:val="0000FF"/>
              </w:rPr>
              <w:t>06/10/2026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14,416</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64.4807</w:t>
            </w:r>
            <w:r>
              <w:rPr>
                <w:rFonts w:ascii="Times New Roman" w:cs="Times New Roman" w:eastAsia="Times New Roman" w:hAnsi="Times New Roman"/>
                <w:sz w:val="22"/>
                <w:szCs w:val="22"/>
                <w:color w:val="008000"/>
                <w:w w:val="95"/>
                <w:vertAlign w:val="superscript"/>
              </w:rPr>
              <w:t>(1)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1,549,991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64"/>
              <w:spacing w:after="0"/>
              <w:rPr>
                <w:sz w:val="20"/>
                <w:szCs w:val="20"/>
                <w:color w:val="auto"/>
              </w:rPr>
            </w:pPr>
            <w:r>
              <w:rPr>
                <w:rFonts w:ascii="Times New Roman" w:cs="Times New Roman" w:eastAsia="Times New Roman" w:hAnsi="Times New Roman"/>
                <w:sz w:val="17"/>
                <w:szCs w:val="17"/>
                <w:color w:val="0000FF"/>
              </w:rPr>
              <w:t>06/10/2026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103,301</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65.5423</w:t>
            </w:r>
            <w:r>
              <w:rPr>
                <w:rFonts w:ascii="Times New Roman" w:cs="Times New Roman" w:eastAsia="Times New Roman" w:hAnsi="Times New Roman"/>
                <w:sz w:val="22"/>
                <w:szCs w:val="22"/>
                <w:color w:val="008000"/>
                <w:w w:val="95"/>
                <w:vertAlign w:val="superscript"/>
              </w:rPr>
              <w:t>(3)</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1,446,690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64"/>
              <w:spacing w:after="0"/>
              <w:rPr>
                <w:sz w:val="20"/>
                <w:szCs w:val="20"/>
                <w:color w:val="auto"/>
              </w:rPr>
            </w:pPr>
            <w:r>
              <w:rPr>
                <w:rFonts w:ascii="Times New Roman" w:cs="Times New Roman" w:eastAsia="Times New Roman" w:hAnsi="Times New Roman"/>
                <w:sz w:val="17"/>
                <w:szCs w:val="17"/>
                <w:color w:val="0000FF"/>
              </w:rPr>
              <w:t>06/10/2026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28,237</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66.3033</w:t>
            </w:r>
            <w:r>
              <w:rPr>
                <w:rFonts w:ascii="Times New Roman" w:cs="Times New Roman" w:eastAsia="Times New Roman" w:hAnsi="Times New Roman"/>
                <w:sz w:val="22"/>
                <w:szCs w:val="22"/>
                <w:color w:val="008000"/>
                <w:w w:val="95"/>
                <w:vertAlign w:val="superscript"/>
              </w:rPr>
              <w:t>(4)</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1,418,453</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1,476</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66.3959</w:t>
            </w:r>
            <w:r>
              <w:rPr>
                <w:rFonts w:ascii="Times New Roman" w:cs="Times New Roman" w:eastAsia="Times New Roman" w:hAnsi="Times New Roman"/>
                <w:sz w:val="22"/>
                <w:szCs w:val="22"/>
                <w:color w:val="008000"/>
                <w:w w:val="95"/>
                <w:vertAlign w:val="superscript"/>
              </w:rPr>
              <w:t>(5)</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1,416,977</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17,369</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67.9034</w:t>
            </w:r>
            <w:r>
              <w:rPr>
                <w:rFonts w:ascii="Times New Roman" w:cs="Times New Roman" w:eastAsia="Times New Roman" w:hAnsi="Times New Roman"/>
                <w:sz w:val="22"/>
                <w:szCs w:val="22"/>
                <w:color w:val="008000"/>
                <w:w w:val="95"/>
                <w:vertAlign w:val="superscript"/>
              </w:rPr>
              <w:t>(6)</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1,399,608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25,117</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68.9063</w:t>
            </w:r>
            <w:r>
              <w:rPr>
                <w:rFonts w:ascii="Times New Roman" w:cs="Times New Roman" w:eastAsia="Times New Roman" w:hAnsi="Times New Roman"/>
                <w:sz w:val="22"/>
                <w:szCs w:val="22"/>
                <w:color w:val="008000"/>
                <w:w w:val="95"/>
                <w:vertAlign w:val="superscript"/>
              </w:rPr>
              <w:t>(7)</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1,374,491</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85,285</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69.874</w:t>
            </w:r>
            <w:r>
              <w:rPr>
                <w:rFonts w:ascii="Times New Roman" w:cs="Times New Roman" w:eastAsia="Times New Roman" w:hAnsi="Times New Roman"/>
                <w:sz w:val="22"/>
                <w:szCs w:val="22"/>
                <w:color w:val="008000"/>
                <w:w w:val="95"/>
                <w:vertAlign w:val="superscript"/>
              </w:rPr>
              <w:t>(8)</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1,289,206</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20,208</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71.0671</w:t>
            </w:r>
            <w:r>
              <w:rPr>
                <w:rFonts w:ascii="Times New Roman" w:cs="Times New Roman" w:eastAsia="Times New Roman" w:hAnsi="Times New Roman"/>
                <w:sz w:val="22"/>
                <w:szCs w:val="22"/>
                <w:color w:val="008000"/>
                <w:w w:val="95"/>
                <w:vertAlign w:val="superscript"/>
              </w:rPr>
              <w:t>(9)</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1,268,998</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92,128</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88"/>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71.7405</w:t>
            </w:r>
            <w:r>
              <w:rPr>
                <w:rFonts w:ascii="Times New Roman" w:cs="Times New Roman" w:eastAsia="Times New Roman" w:hAnsi="Times New Roman"/>
                <w:sz w:val="22"/>
                <w:szCs w:val="22"/>
                <w:color w:val="008000"/>
                <w:w w:val="96"/>
                <w:vertAlign w:val="superscript"/>
              </w:rPr>
              <w:t>(10)</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1,176,870</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8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9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3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vMerge w:val="restart"/>
          </w:tcPr>
          <w:p>
            <w:pPr>
              <w:jc w:val="center"/>
              <w:ind w:left="144"/>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420" w:type="dxa"/>
            <w:vAlign w:val="bottom"/>
          </w:tcPr>
          <w:p>
            <w:pPr>
              <w:spacing w:after="0"/>
              <w:rPr>
                <w:sz w:val="21"/>
                <w:szCs w:val="21"/>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686</w:t>
            </w:r>
          </w:p>
        </w:tc>
        <w:tc>
          <w:tcPr>
            <w:tcW w:w="34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w w:val="97"/>
              </w:rPr>
              <w:t>D</w:t>
            </w:r>
          </w:p>
        </w:tc>
        <w:tc>
          <w:tcPr>
            <w:tcW w:w="1140" w:type="dxa"/>
            <w:vAlign w:val="bottom"/>
            <w:gridSpan w:val="3"/>
            <w:vMerge w:val="restart"/>
          </w:tcPr>
          <w:p>
            <w:pPr>
              <w:jc w:val="center"/>
              <w:ind w:left="68"/>
              <w:spacing w:after="0"/>
              <w:rPr>
                <w:sz w:val="20"/>
                <w:szCs w:val="20"/>
                <w:color w:val="auto"/>
              </w:rPr>
            </w:pPr>
            <w:r>
              <w:rPr>
                <w:rFonts w:ascii="Arial" w:cs="Arial" w:eastAsia="Arial" w:hAnsi="Arial"/>
                <w:sz w:val="17"/>
                <w:szCs w:val="17"/>
                <w:color w:val="auto"/>
                <w:w w:val="94"/>
              </w:rPr>
              <w:t>$</w:t>
            </w:r>
            <w:r>
              <w:rPr>
                <w:rFonts w:ascii="Times New Roman" w:cs="Times New Roman" w:eastAsia="Times New Roman" w:hAnsi="Times New Roman"/>
                <w:sz w:val="17"/>
                <w:szCs w:val="17"/>
                <w:color w:val="0000FF"/>
                <w:w w:val="94"/>
              </w:rPr>
              <w:t>72.4095</w:t>
            </w:r>
            <w:r>
              <w:rPr>
                <w:rFonts w:ascii="Times New Roman" w:cs="Times New Roman" w:eastAsia="Times New Roman" w:hAnsi="Times New Roman"/>
                <w:sz w:val="22"/>
                <w:szCs w:val="22"/>
                <w:color w:val="008000"/>
                <w:w w:val="94"/>
                <w:vertAlign w:val="superscript"/>
              </w:rPr>
              <w:t>(11)</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1,176,184</w:t>
            </w:r>
          </w:p>
        </w:tc>
        <w:tc>
          <w:tcPr>
            <w:tcW w:w="340" w:type="dxa"/>
            <w:vAlign w:val="bottom"/>
          </w:tcPr>
          <w:p>
            <w:pPr>
              <w:spacing w:after="0"/>
              <w:rPr>
                <w:sz w:val="21"/>
                <w:szCs w:val="21"/>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34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60" w:type="dxa"/>
            <w:vAlign w:val="bottom"/>
          </w:tcPr>
          <w:p>
            <w:pPr>
              <w:spacing w:after="0"/>
              <w:rPr>
                <w:sz w:val="9"/>
                <w:szCs w:val="9"/>
                <w:color w:val="auto"/>
              </w:rPr>
            </w:pPr>
          </w:p>
        </w:tc>
        <w:tc>
          <w:tcPr>
            <w:tcW w:w="8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80" w:type="dxa"/>
            <w:vAlign w:val="bottom"/>
          </w:tcPr>
          <w:p>
            <w:pPr>
              <w:spacing w:after="0"/>
              <w:rPr>
                <w:sz w:val="9"/>
                <w:szCs w:val="9"/>
                <w:color w:val="auto"/>
              </w:rPr>
            </w:pPr>
          </w:p>
        </w:tc>
        <w:tc>
          <w:tcPr>
            <w:tcW w:w="34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tcPr>
          <w:p>
            <w:pPr>
              <w:spacing w:after="0"/>
              <w:rPr>
                <w:sz w:val="9"/>
                <w:szCs w:val="9"/>
                <w:color w:val="auto"/>
              </w:rPr>
            </w:pPr>
          </w:p>
        </w:tc>
        <w:tc>
          <w:tcPr>
            <w:tcW w:w="920" w:type="dxa"/>
            <w:vAlign w:val="bottom"/>
            <w:gridSpan w:val="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tcBorders>
              <w:top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top w:val="single" w:sz="8" w:color="2C2C2C"/>
            </w:tcBorders>
          </w:tcPr>
          <w:p>
            <w:pPr>
              <w:spacing w:after="0"/>
              <w:rPr>
                <w:sz w:val="23"/>
                <w:szCs w:val="23"/>
                <w:color w:val="auto"/>
              </w:rPr>
            </w:pPr>
          </w:p>
        </w:tc>
        <w:tc>
          <w:tcPr>
            <w:tcW w:w="1120" w:type="dxa"/>
            <w:vAlign w:val="bottom"/>
            <w:tcBorders>
              <w:top w:val="single" w:sz="8" w:color="2C2C2C"/>
            </w:tcBorders>
          </w:tcPr>
          <w:p>
            <w:pPr>
              <w:spacing w:after="0"/>
              <w:rPr>
                <w:sz w:val="23"/>
                <w:szCs w:val="23"/>
                <w:color w:val="auto"/>
              </w:rPr>
            </w:pPr>
          </w:p>
        </w:tc>
        <w:tc>
          <w:tcPr>
            <w:tcW w:w="60" w:type="dxa"/>
            <w:vAlign w:val="bottom"/>
            <w:tcBorders>
              <w:top w:val="single" w:sz="8" w:color="2C2C2C"/>
            </w:tcBorders>
          </w:tcPr>
          <w:p>
            <w:pPr>
              <w:spacing w:after="0"/>
              <w:rPr>
                <w:sz w:val="23"/>
                <w:szCs w:val="23"/>
                <w:color w:val="auto"/>
              </w:rPr>
            </w:pPr>
          </w:p>
        </w:tc>
        <w:tc>
          <w:tcPr>
            <w:tcW w:w="8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20" w:type="dxa"/>
            <w:vAlign w:val="bottom"/>
            <w:tcBorders>
              <w:top w:val="single" w:sz="8" w:color="2C2C2C"/>
            </w:tcBorders>
          </w:tcPr>
          <w:p>
            <w:pPr>
              <w:spacing w:after="0"/>
              <w:rPr>
                <w:sz w:val="23"/>
                <w:szCs w:val="23"/>
                <w:color w:val="auto"/>
              </w:rPr>
            </w:pPr>
          </w:p>
        </w:tc>
        <w:tc>
          <w:tcPr>
            <w:tcW w:w="360" w:type="dxa"/>
            <w:vAlign w:val="bottom"/>
            <w:tcBorders>
              <w:top w:val="single" w:sz="8" w:color="2C2C2C"/>
            </w:tcBorders>
          </w:tcPr>
          <w:p>
            <w:pPr>
              <w:spacing w:after="0"/>
              <w:rPr>
                <w:sz w:val="23"/>
                <w:szCs w:val="23"/>
                <w:color w:val="auto"/>
              </w:rPr>
            </w:pPr>
          </w:p>
        </w:tc>
        <w:tc>
          <w:tcPr>
            <w:tcW w:w="420" w:type="dxa"/>
            <w:vAlign w:val="bottom"/>
            <w:tcBorders>
              <w:top w:val="single" w:sz="8" w:color="2C2C2C"/>
            </w:tcBorders>
          </w:tcPr>
          <w:p>
            <w:pPr>
              <w:spacing w:after="0"/>
              <w:rPr>
                <w:sz w:val="23"/>
                <w:szCs w:val="23"/>
                <w:color w:val="auto"/>
              </w:rPr>
            </w:pPr>
          </w:p>
        </w:tc>
        <w:tc>
          <w:tcPr>
            <w:tcW w:w="780" w:type="dxa"/>
            <w:vAlign w:val="bottom"/>
            <w:tcBorders>
              <w:top w:val="single" w:sz="8" w:color="2C2C2C"/>
            </w:tcBorders>
          </w:tcPr>
          <w:p>
            <w:pPr>
              <w:spacing w:after="0"/>
              <w:rPr>
                <w:sz w:val="23"/>
                <w:szCs w:val="23"/>
                <w:color w:val="auto"/>
              </w:rPr>
            </w:pPr>
          </w:p>
        </w:tc>
        <w:tc>
          <w:tcPr>
            <w:tcW w:w="340" w:type="dxa"/>
            <w:vAlign w:val="bottom"/>
            <w:tcBorders>
              <w:top w:val="single" w:sz="8" w:color="2C2C2C"/>
            </w:tcBorders>
          </w:tcPr>
          <w:p>
            <w:pPr>
              <w:spacing w:after="0"/>
              <w:rPr>
                <w:sz w:val="23"/>
                <w:szCs w:val="23"/>
                <w:color w:val="auto"/>
              </w:rPr>
            </w:pPr>
          </w:p>
        </w:tc>
        <w:tc>
          <w:tcPr>
            <w:tcW w:w="920" w:type="dxa"/>
            <w:vAlign w:val="bottom"/>
            <w:tcBorders>
              <w:top w:val="single" w:sz="8" w:color="2C2C2C"/>
            </w:tcBorders>
          </w:tcPr>
          <w:p>
            <w:pPr>
              <w:spacing w:after="0"/>
              <w:rPr>
                <w:sz w:val="23"/>
                <w:szCs w:val="23"/>
                <w:color w:val="auto"/>
              </w:rPr>
            </w:pPr>
          </w:p>
        </w:tc>
        <w:tc>
          <w:tcPr>
            <w:tcW w:w="80" w:type="dxa"/>
            <w:vAlign w:val="bottom"/>
            <w:tcBorders>
              <w:top w:val="single" w:sz="8" w:color="2C2C2C"/>
            </w:tcBorders>
          </w:tcPr>
          <w:p>
            <w:pPr>
              <w:spacing w:after="0"/>
              <w:rPr>
                <w:sz w:val="23"/>
                <w:szCs w:val="23"/>
                <w:color w:val="auto"/>
              </w:rPr>
            </w:pPr>
          </w:p>
        </w:tc>
        <w:tc>
          <w:tcPr>
            <w:tcW w:w="140" w:type="dxa"/>
            <w:vAlign w:val="bottom"/>
            <w:tcBorders>
              <w:top w:val="single" w:sz="8" w:color="2C2C2C"/>
            </w:tcBorders>
          </w:tcPr>
          <w:p>
            <w:pPr>
              <w:spacing w:after="0"/>
              <w:rPr>
                <w:sz w:val="23"/>
                <w:szCs w:val="23"/>
                <w:color w:val="auto"/>
              </w:rPr>
            </w:pPr>
          </w:p>
        </w:tc>
        <w:tc>
          <w:tcPr>
            <w:tcW w:w="1160" w:type="dxa"/>
            <w:vAlign w:val="bottom"/>
            <w:tcBorders>
              <w:top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65,712</w:t>
            </w:r>
          </w:p>
        </w:tc>
        <w:tc>
          <w:tcPr>
            <w:tcW w:w="340" w:type="dxa"/>
            <w:vAlign w:val="bottom"/>
            <w:tcBorders>
              <w:top w:val="single" w:sz="8" w:color="2C2C2C"/>
            </w:tcBorders>
          </w:tcPr>
          <w:p>
            <w:pPr>
              <w:spacing w:after="0"/>
              <w:rPr>
                <w:sz w:val="23"/>
                <w:szCs w:val="23"/>
                <w:color w:val="auto"/>
              </w:rPr>
            </w:pPr>
          </w:p>
        </w:tc>
        <w:tc>
          <w:tcPr>
            <w:tcW w:w="580" w:type="dxa"/>
            <w:vAlign w:val="bottom"/>
            <w:tcBorders>
              <w:top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top w:val="single" w:sz="8" w:color="2C2C2C"/>
            </w:tcBorders>
          </w:tcPr>
          <w:p>
            <w:pPr>
              <w:spacing w:after="0"/>
              <w:rPr>
                <w:sz w:val="23"/>
                <w:szCs w:val="23"/>
                <w:color w:val="auto"/>
              </w:rPr>
            </w:pPr>
          </w:p>
        </w:tc>
        <w:tc>
          <w:tcPr>
            <w:tcW w:w="660" w:type="dxa"/>
            <w:vAlign w:val="bottom"/>
            <w:tcBorders>
              <w:top w:val="single" w:sz="8" w:color="2C2C2C"/>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3"/>
          </w:tcPr>
          <w:p>
            <w:pPr>
              <w:spacing w:after="0"/>
              <w:rPr>
                <w:sz w:val="8"/>
                <w:szCs w:val="8"/>
                <w:color w:val="auto"/>
              </w:rPr>
            </w:pPr>
          </w:p>
        </w:tc>
        <w:tc>
          <w:tcPr>
            <w:tcW w:w="2840" w:type="dxa"/>
            <w:vAlign w:val="bottom"/>
            <w:tcBorders>
              <w:bottom w:val="single" w:sz="8" w:color="2C2C2C"/>
            </w:tcBorders>
            <w:gridSpan w:val="6"/>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2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w w:val="96"/>
              </w:rPr>
              <w:t>and 5)</w:t>
            </w:r>
          </w:p>
        </w:tc>
        <w:tc>
          <w:tcPr>
            <w:tcW w:w="3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gridSpan w:val="2"/>
          </w:tcPr>
          <w:p>
            <w:pPr>
              <w:ind w:left="4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Expiration</w:t>
            </w:r>
          </w:p>
        </w:tc>
        <w:tc>
          <w:tcPr>
            <w:tcW w:w="10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380" w:type="dxa"/>
            <w:vAlign w:val="bottom"/>
            <w:gridSpan w:val="2"/>
          </w:tcPr>
          <w:p>
            <w:pPr>
              <w:ind w:left="20"/>
              <w:spacing w:after="0"/>
              <w:rPr>
                <w:sz w:val="20"/>
                <w:szCs w:val="20"/>
                <w:color w:val="auto"/>
              </w:rPr>
            </w:pPr>
            <w:r>
              <w:rPr>
                <w:rFonts w:ascii="Arial" w:cs="Arial" w:eastAsia="Arial" w:hAnsi="Arial"/>
                <w:sz w:val="12"/>
                <w:szCs w:val="12"/>
                <w:b w:val="1"/>
                <w:bCs w:val="1"/>
                <w:color w:val="auto"/>
              </w:rPr>
              <w:t>(A)</w:t>
            </w:r>
          </w:p>
        </w:tc>
        <w:tc>
          <w:tcPr>
            <w:tcW w:w="360" w:type="dxa"/>
            <w:vAlign w:val="bottom"/>
          </w:tcPr>
          <w:p>
            <w:pPr>
              <w:spacing w:after="0"/>
              <w:rPr>
                <w:sz w:val="20"/>
                <w:szCs w:val="20"/>
                <w:color w:val="auto"/>
              </w:rPr>
            </w:pPr>
            <w:r>
              <w:rPr>
                <w:rFonts w:ascii="Arial" w:cs="Arial" w:eastAsia="Arial" w:hAnsi="Arial"/>
                <w:sz w:val="12"/>
                <w:szCs w:val="12"/>
                <w:b w:val="1"/>
                <w:bCs w:val="1"/>
                <w:color w:val="auto"/>
              </w:rPr>
              <w:t>(D)</w:t>
            </w:r>
          </w:p>
        </w:tc>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340" w:type="dxa"/>
            <w:vAlign w:val="bottom"/>
          </w:tcPr>
          <w:p>
            <w:pPr>
              <w:spacing w:after="0"/>
              <w:rPr>
                <w:sz w:val="14"/>
                <w:szCs w:val="14"/>
                <w:color w:val="auto"/>
              </w:rPr>
            </w:pPr>
          </w:p>
        </w:tc>
        <w:tc>
          <w:tcPr>
            <w:tcW w:w="1000" w:type="dxa"/>
            <w:vAlign w:val="bottom"/>
            <w:gridSpan w:val="2"/>
          </w:tcPr>
          <w:p>
            <w:pPr>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$64.00 to $64.995, inclusive. The Reporting Person undertakes to provide to the Issuer, any security holder of the Issuer, or the staff of the Securities and Exchange Commission, upon request, full information regarding the number of shares sold at each separate price</w:t>
      </w:r>
    </w:p>
    <w:p>
      <w:pPr>
        <w:sectPr>
          <w:pgSz w:w="11900" w:h="16883" w:orient="portrait"/>
          <w:cols w:equalWidth="0" w:num="1">
            <w:col w:w="11080"/>
          </w:cols>
          <w:pgMar w:left="460" w:top="219"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within the range.</w:t>
      </w:r>
    </w:p>
    <w:p>
      <w:pPr>
        <w:spacing w:after="0" w:line="50" w:lineRule="exact"/>
        <w:rPr>
          <w:sz w:val="20"/>
          <w:szCs w:val="20"/>
          <w:color w:val="auto"/>
        </w:rPr>
      </w:pPr>
    </w:p>
    <w:p>
      <w:pPr>
        <w:ind w:firstLine="7"/>
        <w:spacing w:after="0" w:line="247"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held directly by Canaan VIII L.P. ("Canaan LP"). Canaan Partners VIII LLC ("Canaan LLC" and together with Canaan LP, the "Canaan Entities") is the sole general partner of Canaan LP. Investment and voting decisions with respect to the securities held by Canaan LP are made by the managers of Canaan LLC, collectively. The Reporting Person disclaims beneficial ownership of the securities held by the Canaan Entities, except to the extent of his pecuniary interest, if any, in such securities by virtue of the limited liability company interests he owns in Canaan LLC. The Canaan Entities have instituted a communications-screen policy with respect to securities matters relating to the Issuer, and the Reporting Person did not participate in this investment decision.</w:t>
      </w:r>
    </w:p>
    <w:p>
      <w:pPr>
        <w:spacing w:after="0" w:line="24"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$65.00 to $65.995,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$66.00 to $66.68,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$66.35 to $66.91,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$67.35 to $68.335,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$68.35 to $69.3425,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$69.35 to $70.34,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3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$70.35 to $71.34,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20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$71.35 to $72.34,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180" w:firstLine="7"/>
        <w:spacing w:after="0" w:line="253" w:lineRule="auto"/>
        <w:tabs>
          <w:tab w:leader="none" w:pos="195"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$72.36 to $72.48,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Dr. Stephen M. Bloch</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06/12/2026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0308" TargetMode="External"/><Relationship Id="rId14" Type="http://schemas.openxmlformats.org/officeDocument/2006/relationships/hyperlink" Target="http://www.sec.gov/cgi-bin/browse-edgar?action=getcompany&amp;CIK=00018195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2026-06-12T15:31:22Z</dcterms:created>
  <dcterms:modified xsi:type="dcterms:W3CDTF">2026-06-12T15:31:22Z</dcterms:modified>
</cp:coreProperties>
</file>