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1_4seq1.xml.htm"/>
      <w:bookmarkStart w:id="1" w:name="kstm262052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Boyle Dana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3,179</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178,521</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641</w:t>
            </w:r>
            <w:r>
              <w:rPr>
                <w:rFonts w:ascii="Times;serif" w:hAnsi="Times;serif"/>
                <w:color w:val="008000"/>
                <w:position w:val="7"/>
                <w:sz w:val="16"/>
                <w:sz w:val="20"/>
                <w:shd w:fill="FFFFFF" w:val="clear"/>
              </w:rPr>
              <w:t>(5)</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177,880</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8,361</w:t>
            </w:r>
            <w:r>
              <w:rPr>
                <w:rFonts w:ascii="Times;serif" w:hAnsi="Times;serif"/>
                <w:color w:val="008000"/>
                <w:position w:val="7"/>
                <w:sz w:val="16"/>
                <w:sz w:val="20"/>
                <w:shd w:fill="FFFFFF" w:val="clear"/>
              </w:rPr>
              <w:t>(5)</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169,519</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2025, the Reporting Person was granted 50,861 PSUs which vest upon the following time-based vesting schedule: 25% of the PSUs shall vest on January 11, 2026 and the remaining PSUs shall vest ratably on a quarterly basis over three years thereafter. Of those PSUs, a total of 19,074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9,375 unvested restricted stock units ("RSUs") of the 50,000 RSUs granted to the Reporting Person on January 25, 2023, (ii) 21,406 unvested RSUs of the 57,085 RSUs granted to the Reporting Person on January 11, 2024, (iii) 31,787 unvested RSUs of the 50,861 RSUs granted to the Reporting Person on January 11, 2025, (iv) 18,750 unvested RSUs of the 25,000 RSUs granted to the Reporting Person on July 1, 2025, (v) 23,728 RSUs granted to the Reporting Person on January 16, 2026, none of which have vested as of the date of this Form 4 and (vi) 3,964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common stock were sold to cover taxes associated with the settlement of RSUs and PSUs that were initially granted to the Reporting Person on January 11, 2024, January 11, 2025 and July 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Boyle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53"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4358</Characters>
  <CharactersWithSpaces>5113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