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7491-1_4seq1.xml.htm"/>
      <w:bookmarkStart w:id="1" w:name="kstm261749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Bloch Stephen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3"/>
        <w:gridCol w:w="909"/>
        <w:gridCol w:w="780"/>
        <w:gridCol w:w="603"/>
        <w:gridCol w:w="336"/>
        <w:gridCol w:w="996"/>
        <w:gridCol w:w="415"/>
        <w:gridCol w:w="982"/>
        <w:gridCol w:w="1235"/>
        <w:gridCol w:w="954"/>
        <w:gridCol w:w="10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06/08/2026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106,310</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64.4941</w:t>
            </w:r>
            <w:r>
              <w:rPr>
                <w:rFonts w:ascii="Times;serif" w:hAnsi="Times;serif"/>
                <w:color w:val="008000"/>
                <w:position w:val="7"/>
                <w:sz w:val="16"/>
                <w:sz w:val="20"/>
                <w:shd w:fill="FFFFFF" w:val="clear"/>
              </w:rPr>
              <w:t>(1)</w:t>
            </w:r>
            <w:r>
              <w:rPr/>
              <w:t xml:space="preserve"> </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1,678,932</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06/08/2026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39,187</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65.3796</w:t>
            </w:r>
            <w:r>
              <w:rPr>
                <w:rFonts w:ascii="Times;serif" w:hAnsi="Times;serif"/>
                <w:color w:val="008000"/>
                <w:position w:val="7"/>
                <w:sz w:val="16"/>
                <w:sz w:val="20"/>
                <w:shd w:fill="FFFFFF" w:val="clear"/>
              </w:rPr>
              <w:t>(3)</w:t>
            </w:r>
            <w:r>
              <w:rPr/>
              <w:t xml:space="preserve"> </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1,639,745</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06/08/2026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2,804</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66.188</w:t>
            </w:r>
            <w:r>
              <w:rPr>
                <w:rFonts w:ascii="Times;serif" w:hAnsi="Times;serif"/>
                <w:color w:val="008000"/>
                <w:position w:val="7"/>
                <w:sz w:val="16"/>
                <w:sz w:val="20"/>
                <w:shd w:fill="FFFFFF" w:val="clear"/>
              </w:rPr>
              <w:t>(4)</w:t>
            </w:r>
            <w:r>
              <w:rPr/>
              <w:t xml:space="preserve"> </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1,636,941</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64,500</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64.2718</w:t>
            </w:r>
            <w:r>
              <w:rPr>
                <w:rFonts w:ascii="Times;serif" w:hAnsi="Times;serif"/>
                <w:color w:val="008000"/>
                <w:position w:val="7"/>
                <w:sz w:val="16"/>
                <w:sz w:val="20"/>
                <w:shd w:fill="FFFFFF" w:val="clear"/>
              </w:rPr>
              <w:t>(5)</w:t>
            </w:r>
            <w:r>
              <w:rPr/>
              <w:t xml:space="preserve"> </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1,572,441</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8,034</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65.243</w:t>
            </w:r>
            <w:r>
              <w:rPr>
                <w:rFonts w:ascii="Times;serif" w:hAnsi="Times;serif"/>
                <w:color w:val="008000"/>
                <w:position w:val="7"/>
                <w:sz w:val="16"/>
                <w:sz w:val="20"/>
                <w:shd w:fill="FFFFFF" w:val="clear"/>
              </w:rPr>
              <w:t>(6)</w:t>
            </w:r>
            <w:r>
              <w:rPr/>
              <w:t xml:space="preserve"> </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1,564,407</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19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65,712</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$64.00 to $64.995,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held directly by Canaan VIII L.P. ("Canaan LP"). Canaan Partners VIII LLC ("Canaan LLC" and together with Canaan LP, the "Canaan Entities") is the sole general partner of Canaan LP. Investment and voting decisions with respect to the securities held by Canaan LP are made by the managers of Canaan LLC, collectively. The Reporting Person disclaims beneficial ownership of the securities held by the Canaan Entities, except to the extent of his pecuniary interest, if any, in such securities by virtue of the limited liability company interests he owns in Canaan LLC. The Canaan Entities have instituted a communications-screen policy with respect to securities matters relating to the Issuer, and the Reporting Person did not participate in this investment decision.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$65.00 to $65.90,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$66.01 to $66.39,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$64.00 to $64.99,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prices ranging from $65.00 to $65.72,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 Stephen M. Bloch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0308"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1072</Words>
  <Characters>5727</Characters>
  <CharactersWithSpaces>6704</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