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584-1_4seq1.xml.htm"/>
      <w:bookmarkStart w:id="1" w:name="kstm262158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Adair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10"/>
        <w:gridCol w:w="459"/>
        <w:gridCol w:w="756"/>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688</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87.53</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216,438</w:t>
            </w:r>
            <w:r>
              <w:rPr>
                <w:rFonts w:ascii="Times;serif" w:hAnsi="Times;serif"/>
                <w:color w:val="008000"/>
                <w:position w:val="7"/>
                <w:sz w:val="16"/>
                <w:sz w:val="20"/>
                <w:shd w:fill="FFFFFF" w:val="clear"/>
              </w:rPr>
              <w:t>(3)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were sold to cover taxes associated with the settlement of restricted stock units ("RSUs") that were initially granted to the Reporting Person on July 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6,250 unvested RSUs of the 25,000 RSUs granted to the Reporting Person on July 6, 2023, (ii) 14,845 unvested RSUs of the 39,588 RSUs granted to the Reporting Person on January 11, 2024, (iii) 38,684 unvested RSUs of the 61,895 RSUs granted to the Reporting Person on January 11, 2025, (iv) 27,683 RSUs granted to the Reporting Person on January 16, 2026, none of which have vested as of the date of this Form 4 and (v) 12,023 shares acquired under the Liquidia Corporation 2020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Adair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705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3738</Characters>
  <CharactersWithSpaces>4372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